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4.pdf" ContentType="application/pdf"/>
  <Override PartName="/word/media/rId91.png" ContentType="image/png"/>
  <Override PartName="/word/media/rId85.png" ContentType="image/png"/>
  <Override PartName="/word/media/rId79.png" ContentType="image/png"/>
  <Override PartName="/word/media/rId82.pdf" ContentType="application/pdf"/>
  <Override PartName="/word/media/rId94.png" ContentType="image/png"/>
  <Override PartName="/word/media/rId88.png" ContentType="image/png"/>
  <Override PartName="/word/media/rId73.png" ContentType="image/png"/>
  <Override PartName="/word/media/rId76.png" ContentType="image/png"/>
  <Override PartName="/word/media/rId70.pdf" ContentType="application/pdf"/>
  <Override PartName="/word/media/rId67.pdf" ContentType="application/pdf"/>
  <Override PartName="/word/media/rId97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371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local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 In this model, a gene’s expression is</w:t>
      </w:r>
      <w:r>
        <w:t xml:space="preserve"> </w:t>
      </w:r>
      <w:r>
        <w:t xml:space="preserve">influenced by many variants throughout the genome through their</w:t>
      </w:r>
      <w:r>
        <w:t xml:space="preserve"> </w:t>
      </w:r>
      <w:r>
        <w:t xml:space="preserve">cumulative effects on a broader regulatory network. In other words, the</w:t>
      </w:r>
      <w:r>
        <w:t xml:space="preserve"> </w:t>
      </w:r>
      <w:r>
        <w:t xml:space="preserve">heritable component of the transcriptome is an emergent state arising</w:t>
      </w:r>
      <w:r>
        <w:t xml:space="preserve"> </w:t>
      </w:r>
      <w:r>
        <w:t xml:space="preserve">from the myriad molecular interactions defining and constraining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21,22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23,24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25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26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25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27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25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haplotypes,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371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insulin, glucose and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a CC-RIX population and gene expression from three of the four</w:t>
      </w:r>
      <w:r>
        <w:t xml:space="preserve"> </w:t>
      </w:r>
      <w:r>
        <w:t xml:space="preserve">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28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A-H). We performed eQTL analysis using R/qtl2</w:t>
      </w:r>
      <w:r>
        <w:rPr>
          <w:vertAlign w:val="superscript"/>
        </w:rPr>
        <w:t xml:space="preserve">29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</w:t>
      </w:r>
      <w:r>
        <w:t xml:space="preserve"> </w:t>
      </w:r>
      <w:r>
        <w:t xml:space="preserve">Significant local eQTLs far 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 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19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analytis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scores–a</w:t>
      </w:r>
      <w:r>
        <w:t xml:space="preserve"> </w:t>
      </w:r>
      <w:r>
        <w:t xml:space="preserve">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</w:t>
      </w:r>
      <w:r>
        <w:t xml:space="preserve"> </w:t>
      </w:r>
      <w:r>
        <w:t xml:space="preserve">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</w:t>
      </w:r>
      <w:r>
        <w:t xml:space="preserve"> </w:t>
      </w:r>
      <w:r>
        <w:t xml:space="preserve">univariate theory of mediation to constrain these projections to satisfy</w:t>
      </w:r>
      <w:r>
        <w:t xml:space="preserve"> </w:t>
      </w:r>
      <w:r>
        <w:t xml:space="preserve">the hypotheses of perfect mediation, namely that upon controlling for</w:t>
      </w:r>
      <w:r>
        <w:t xml:space="preserve"> </w:t>
      </w:r>
      <w:r>
        <w:t xml:space="preserve">the transcriptomic score, the genome score is uncorrelated to the</w:t>
      </w:r>
      <w:r>
        <w:t xml:space="preserve"> </w:t>
      </w:r>
      <w:r>
        <w:t xml:space="preserve">phenome score. Formally, perfect mediation implies a constraint on the</w:t>
      </w:r>
      <w:r>
        <w:t xml:space="preserve"> </w:t>
      </w:r>
      <w:r>
        <w:t xml:space="preserve">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30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31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Body</w:t>
      </w:r>
      <w:r>
        <w:t xml:space="preserve"> </w:t>
      </w:r>
      <w:r>
        <w:t xml:space="preserve">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</w:t>
      </w:r>
      <w:r>
        <w:t xml:space="preserve"> </w:t>
      </w:r>
      <w:r>
        <w:t xml:space="preserve">homeostatic insulin resistance (HOMA_IR) and fasting plasma insulin</w:t>
      </w:r>
      <w:r>
        <w:t xml:space="preserve"> </w:t>
      </w:r>
      <w:r>
        <w:t xml:space="preserve">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disease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disease index (MDI)</w:t>
      </w:r>
      <w:r>
        <w:t xml:space="preserve"> </w:t>
      </w:r>
      <w:r>
        <w:t xml:space="preserve">going forward. Traits contributing the least to the MDI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32,33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MDI, indicating that increased expression in inflammatory pathways</w:t>
      </w:r>
      <w:r>
        <w:t xml:space="preserve"> </w:t>
      </w:r>
      <w:r>
        <w:t xml:space="preserve">was associated with a higher MDI. It is well established that adipose</w:t>
      </w:r>
      <w:r>
        <w:t xml:space="preserve"> </w:t>
      </w:r>
      <w:r>
        <w:t xml:space="preserve">tissue in obese individuals is inflamed and infiltrated by macrophages</w:t>
      </w:r>
      <w:r>
        <w:rPr>
          <w:vertAlign w:val="superscript"/>
        </w:rPr>
        <w:t xml:space="preserve">34–38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12</w:t>
        </w:r>
      </w:hyperlink>
      <w:r>
        <w:t xml:space="preserve">). Consistent with this observations,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 HFHS diet</w:t>
      </w:r>
      <w:r>
        <w:rPr>
          <w:vertAlign w:val="superscript"/>
        </w:rPr>
        <w:t xml:space="preserve">39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13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14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12,40,41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 particularly in the liver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42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42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43,44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45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46,47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MDI.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48–51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MDI. This result also</w:t>
      </w:r>
      <w:r>
        <w:t xml:space="preserve"> </w:t>
      </w:r>
      <w:r>
        <w:t xml:space="preserve">confirms the validity and translatability of the transcript loadings and</w:t>
      </w:r>
      <w:r>
        <w:t xml:space="preserve"> </w:t>
      </w:r>
      <w:r>
        <w:t xml:space="preserve">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15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52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HFHS diet. Loading for marker genes for other cell types were not</w:t>
      </w:r>
      <w:r>
        <w:t xml:space="preserve"> </w:t>
      </w:r>
      <w:r>
        <w:t xml:space="preserve">statistically different from zero, indicating that changes in the</w:t>
      </w:r>
      <w:r>
        <w:t xml:space="preserve"> </w:t>
      </w:r>
      <w:r>
        <w:t xml:space="preserve">abundance of those cell types is not a 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MDI had inherited a higher proportions of alpha cells, and</w:t>
      </w:r>
      <w:r>
        <w:t xml:space="preserve"> </w:t>
      </w:r>
      <w:r>
        <w:t xml:space="preserve">lower proportions of endothelial and delta cells in their pancreatic</w:t>
      </w:r>
      <w:r>
        <w:t xml:space="preserve"> </w:t>
      </w:r>
      <w:r>
        <w:t xml:space="preserve">islets, that such compositional changes were induced by the HFHS diet in</w:t>
      </w:r>
      <w:r>
        <w:t xml:space="preserve"> </w:t>
      </w:r>
      <w:r>
        <w:t xml:space="preserve">a heritable way, or both. In either case, these results support the</w:t>
      </w:r>
      <w:r>
        <w:t xml:space="preserve"> </w:t>
      </w:r>
      <w:r>
        <w:t xml:space="preserve">hypothesis that alterations in islet composition drive variation in MDI.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MDI. This is further consistent with the islet</w:t>
      </w:r>
      <w:r>
        <w:t xml:space="preserve"> </w:t>
      </w:r>
      <w:r>
        <w:t xml:space="preserve">composition traits having small loadings in 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MDI identified in DO mice is relevant to obesity</w:t>
      </w:r>
      <w:r>
        <w:t xml:space="preserve"> </w:t>
      </w:r>
      <w:r>
        <w:t xml:space="preserve">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53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16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54,55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55–57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58,59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60–62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63,64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18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65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66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67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68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69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70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71,72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17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73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74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75,76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77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75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19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78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79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structure. However,</w:t>
      </w:r>
      <w:r>
        <w:t xml:space="preserve"> </w:t>
      </w:r>
      <w:r>
        <w:t xml:space="preserve">gene expression imputed from local genotype failed to predict body</w:t>
      </w:r>
      <w:r>
        <w:t xml:space="preserve"> </w:t>
      </w:r>
      <w:r>
        <w:t xml:space="preserve">weight in the second population. Taken together, these results highlight</w:t>
      </w:r>
      <w:r>
        <w:t xml:space="preserve"> </w:t>
      </w:r>
      <w:r>
        <w:t xml:space="preserve">the 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18,19,80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81–83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consistent with the recently proposed omnigenic model,</w:t>
      </w:r>
      <w:r>
        <w:t xml:space="preserve"> </w:t>
      </w:r>
      <w:r>
        <w:t xml:space="preserve">which 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84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85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80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20</w:t>
        </w:r>
      </w:hyperlink>
      <w:r>
        <w:t xml:space="preserve">). Thus,</w:t>
      </w:r>
      <w:r>
        <w:t xml:space="preserve"> </w:t>
      </w:r>
      <w:r>
        <w:t xml:space="preserve">although distal regulation of some genes may be strong, this regulation</w:t>
      </w:r>
      <w:r>
        <w:t xml:space="preserve"> </w:t>
      </w:r>
      <w:r>
        <w:t xml:space="preserve">is likely to be highly complex and 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42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43–47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2" w:name="data-and-code-availability"/>
    <w:p>
      <w:pPr>
        <w:pStyle w:val="Heading2"/>
      </w:pPr>
      <w:r>
        <w:t xml:space="preserve">Data and Code</w:t>
      </w:r>
      <w:r>
        <w:t xml:space="preserve"> </w:t>
      </w:r>
      <w:r>
        <w:t xml:space="preserve">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 url{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} with the</w:t>
      </w:r>
      <w:r>
        <w:t xml:space="preserve"> </w:t>
      </w:r>
      <w:r>
        <w:t xml:space="preserve">following accession numbers: DO adipose tissue - GSE266549; DO liver</w:t>
      </w:r>
      <w:r>
        <w:t xml:space="preserve"> </w:t>
      </w:r>
      <w:r>
        <w:t xml:space="preserve">tissue - GSE266569; DO skeletal muscle - GSE266567. Expression data with</w:t>
      </w:r>
      <w:r>
        <w:t xml:space="preserve"> </w:t>
      </w:r>
      <w:r>
        <w:t xml:space="preserve">calculated eQTLs are available on the Synapse</w:t>
      </w:r>
      <w:r>
        <w:t xml:space="preserve"> </w:t>
      </w:r>
      <w:hyperlink r:id="rId61">
        <w:r>
          <w:rPr>
            <w:rStyle w:val="Hyperlink"/>
          </w:rPr>
          <w:t xml:space="preserve">https://www.synapse.org/</w:t>
        </w:r>
      </w:hyperlink>
      <w:r>
        <w:t xml:space="preserve"> </w:t>
      </w:r>
      <w:r>
        <w:t xml:space="preserve">(SynID: syn63335496). SynIDs for</w:t>
      </w:r>
      <w:r>
        <w:t xml:space="preserve"> </w:t>
      </w:r>
      <w:r>
        <w:t xml:space="preserve">individual expression data sets are as follows: Adipose: syn63335560;</w:t>
      </w:r>
      <w:r>
        <w:t xml:space="preserve"> </w:t>
      </w:r>
      <w:r>
        <w:t xml:space="preserve">Islet: syn63335611; Liver: syn63335640; Skeletal muscle: syn63338583.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 url{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} with</w:t>
      </w:r>
      <w:r>
        <w:t xml:space="preserve"> </w:t>
      </w:r>
      <w:r>
        <w:t xml:space="preserve">the following accession numbers: CC-RIX adipose tissue - GSE237737;</w:t>
      </w:r>
      <w:r>
        <w:t xml:space="preserve"> </w:t>
      </w:r>
      <w:r>
        <w:t xml:space="preserve">CC-RIX liver tissue - GSE237743; CC-RIX skeletal muscle - GSE237747.</w:t>
      </w:r>
      <w:r>
        <w:t xml:space="preserve"> </w:t>
      </w:r>
      <w:r>
        <w:t xml:space="preserve">Count matrices and phenotype data can be found on Synapse (SynID:</w:t>
      </w:r>
      <w:r>
        <w:t xml:space="preserve"> </w:t>
      </w:r>
      <w:r>
        <w:t xml:space="preserve">syn63335450).</w:t>
      </w:r>
    </w:p>
    <w:p>
      <w:pPr>
        <w:pStyle w:val="BodyText"/>
      </w:pPr>
      <w:r>
        <w:t xml:space="preserve">Code used to run the analyses reported here are also available on</w:t>
      </w:r>
      <w:r>
        <w:t xml:space="preserve"> </w:t>
      </w:r>
      <w:r>
        <w:t xml:space="preserve">Synapse. SynID: syn63335506</w:t>
      </w:r>
    </w:p>
    <w:bookmarkEnd w:id="62"/>
    <w:bookmarkStart w:id="63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nos.: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3"/>
    <w:bookmarkStart w:id="188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1_eQTL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nrichments_KEGG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GO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OxPhos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TCA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Branched_Chain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CC-RIX_Imputation.pdf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 are</w:t>
      </w:r>
      <w:r>
        <w:t xml:space="preserve"> </w:t>
      </w:r>
      <w:r>
        <w:t xml:space="preserve">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All query results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 </w:t>
      </w:r>
      <w:r>
        <w:t xml:space="preserve">across all cell types</w:t>
      </w:r>
      <w:r>
        <w:t xml:space="preserve"> </w:t>
      </w:r>
      <w:r>
        <w:t xml:space="preserve">are shown.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Adipose_ASC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adipose tissue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normal adipocytes.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Islet_YAP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 pancreatic islet composite transcript as</w:t>
      </w:r>
      <w:r>
        <w:t xml:space="preserve"> </w:t>
      </w:r>
      <w:r>
        <w:t xml:space="preserve">an input. Query results are limited to the 30 most negatively correlated</w:t>
      </w:r>
      <w:r>
        <w:t xml:space="preserve"> </w:t>
      </w:r>
      <w:r>
        <w:t xml:space="preserve">signals from YAPC cells, which were derived from a pancreatic carcinoma cells.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lemental_FigX_Nucb2_eQTL.pdf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87" w:name="refs"/>
    <w:bookmarkStart w:id="100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0"/>
    <w:bookmarkStart w:id="101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1"/>
    <w:bookmarkStart w:id="102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2"/>
    <w:bookmarkStart w:id="103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3"/>
    <w:bookmarkStart w:id="104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4"/>
    <w:bookmarkStart w:id="105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5"/>
    <w:bookmarkStart w:id="106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6"/>
    <w:bookmarkStart w:id="107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07"/>
    <w:bookmarkStart w:id="108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08"/>
    <w:bookmarkStart w:id="109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09"/>
    <w:bookmarkStart w:id="110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0"/>
    <w:bookmarkStart w:id="111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1"/>
    <w:bookmarkStart w:id="112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2"/>
    <w:bookmarkStart w:id="113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3"/>
    <w:bookmarkStart w:id="114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4"/>
    <w:bookmarkStart w:id="115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5"/>
    <w:bookmarkStart w:id="116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6"/>
    <w:bookmarkStart w:id="117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17"/>
    <w:bookmarkStart w:id="118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18"/>
    <w:bookmarkStart w:id="119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19"/>
    <w:bookmarkStart w:id="120" w:name="ref-pmid36350656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0"/>
    <w:bookmarkStart w:id="121" w:name="ref-pmid34556834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1"/>
    <w:bookmarkStart w:id="122" w:name="ref-pmid28089486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2"/>
    <w:bookmarkStart w:id="123" w:name="ref-pmid108897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3"/>
    <w:bookmarkStart w:id="124" w:name="ref-pmid22892839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4"/>
    <w:bookmarkStart w:id="125" w:name="ref-pmid18716833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5"/>
    <w:bookmarkStart w:id="126" w:name="ref-pmid31133439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26"/>
    <w:bookmarkStart w:id="127" w:name="ref-pmid17018838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27"/>
    <w:bookmarkStart w:id="128" w:name="ref-pmid30591514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28"/>
    <w:bookmarkStart w:id="130" w:name="ref-rgcca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2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0"/>
    <w:bookmarkStart w:id="131" w:name="ref-pmid38383808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1"/>
    <w:bookmarkStart w:id="133" w:name="ref-fgsea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2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3"/>
    <w:bookmarkStart w:id="134" w:name="ref-pmid16199517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4"/>
    <w:bookmarkStart w:id="135" w:name="ref-pmid19133410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5"/>
    <w:bookmarkStart w:id="136" w:name="ref-pmid28955384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36"/>
    <w:bookmarkStart w:id="137" w:name="ref-pmid28912810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37"/>
    <w:bookmarkStart w:id="138" w:name="ref-pmid2890133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38"/>
    <w:bookmarkStart w:id="139" w:name="ref-pmid24969772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39"/>
    <w:bookmarkStart w:id="140" w:name="ref-pmid18492779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0"/>
    <w:bookmarkStart w:id="141" w:name="ref-pmid2256021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1"/>
    <w:bookmarkStart w:id="142" w:name="ref-pmid19841271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2"/>
    <w:bookmarkStart w:id="143" w:name="ref-pmid17389767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3"/>
    <w:bookmarkStart w:id="144" w:name="ref-pmid12805374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4"/>
    <w:bookmarkStart w:id="145" w:name="ref-pmid12618528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5"/>
    <w:bookmarkStart w:id="146" w:name="ref-pmid16357043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46"/>
    <w:bookmarkStart w:id="147" w:name="ref-pmid15644454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47"/>
    <w:bookmarkStart w:id="148" w:name="ref-pmid16403437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48"/>
    <w:bookmarkStart w:id="149" w:name="ref-pmid28592495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49"/>
    <w:bookmarkStart w:id="150" w:name="ref-pmid2141185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0"/>
    <w:bookmarkStart w:id="151" w:name="ref-pmid17674098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1"/>
    <w:bookmarkStart w:id="152" w:name="ref-pmid15514660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2"/>
    <w:bookmarkStart w:id="153" w:name="ref-pmid24781408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3"/>
    <w:bookmarkStart w:id="154" w:name="ref-pmid17008526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4"/>
    <w:bookmarkStart w:id="155" w:name="ref-pmid30290005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5"/>
    <w:bookmarkStart w:id="156" w:name="ref-pmid30034573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56"/>
    <w:bookmarkStart w:id="157" w:name="ref-pmid23881200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57"/>
    <w:bookmarkStart w:id="158" w:name="ref-pmid21266327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58"/>
    <w:bookmarkStart w:id="159" w:name="ref-pmid24582093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59"/>
    <w:bookmarkStart w:id="160" w:name="ref-pmid35585199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0"/>
    <w:bookmarkStart w:id="161" w:name="ref-pmid30310815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1"/>
    <w:bookmarkStart w:id="162" w:name="ref-pmid11254472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2"/>
    <w:bookmarkStart w:id="163" w:name="ref-pmid23197361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3"/>
    <w:bookmarkStart w:id="164" w:name="ref-pmid27411014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4"/>
    <w:bookmarkStart w:id="165" w:name="ref-pmid25385872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5"/>
    <w:bookmarkStart w:id="166" w:name="ref-pmid34450194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66"/>
    <w:bookmarkStart w:id="167" w:name="ref-pmid21459330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67"/>
    <w:bookmarkStart w:id="168" w:name="ref-pmid12114611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68"/>
    <w:bookmarkStart w:id="169" w:name="ref-pmid33648925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69"/>
    <w:bookmarkStart w:id="170" w:name="ref-pmid28753229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0"/>
    <w:bookmarkStart w:id="171" w:name="ref-pmid17047224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1"/>
    <w:bookmarkStart w:id="172" w:name="ref-pmid28683283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2"/>
    <w:bookmarkStart w:id="173" w:name="ref-pmid15685170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3"/>
    <w:bookmarkStart w:id="174" w:name="ref-pmid33603744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4"/>
    <w:bookmarkStart w:id="175" w:name="ref-pmid32281000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5"/>
    <w:bookmarkStart w:id="176" w:name="ref-pmid27007849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76"/>
    <w:bookmarkStart w:id="177" w:name="ref-pmid28823510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77"/>
    <w:bookmarkStart w:id="178" w:name="ref-pmid24520198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78"/>
    <w:bookmarkStart w:id="179" w:name="ref-pmid21190462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79"/>
    <w:bookmarkStart w:id="180" w:name="ref-pmid16631807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0"/>
    <w:bookmarkStart w:id="181" w:name="ref-pmid31051098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1"/>
    <w:bookmarkStart w:id="182" w:name="ref-pmid29782925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2"/>
    <w:bookmarkStart w:id="183" w:name="ref-pmid12082173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3"/>
    <w:bookmarkStart w:id="184" w:name="ref-pmid273049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4"/>
    <w:bookmarkStart w:id="185" w:name="ref-pmid28622505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5"/>
    <w:bookmarkStart w:id="186" w:name="ref-pmid2990644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86"/>
    <w:bookmarkEnd w:id="187"/>
    <w:bookmarkEnd w:id="1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4" Target="media/rId64.pdf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79" Target="media/rId79.png" /><Relationship Type="http://schemas.openxmlformats.org/officeDocument/2006/relationships/image" Id="rId82" Target="media/rId82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0" Target="media/rId70.pdf" /><Relationship Type="http://schemas.openxmlformats.org/officeDocument/2006/relationships/image" Id="rId67" Target="media/rId67.pdf" /><Relationship Type="http://schemas.openxmlformats.org/officeDocument/2006/relationships/image" Id="rId97" Target="media/rId97.pdf" /><Relationship Type="http://schemas.openxmlformats.org/officeDocument/2006/relationships/hyperlink" Id="rId129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32" Target="https://doi.org/10.1101/060012" TargetMode="External" /><Relationship Type="http://schemas.openxmlformats.org/officeDocument/2006/relationships/hyperlink" Id="rId60" Target="https://www.ncbi.nlm.nih.gov/geo/" TargetMode="External" /><Relationship Type="http://schemas.openxmlformats.org/officeDocument/2006/relationships/hyperlink" Id="rId61" Target="https://www.synapse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9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32" Target="https://doi.org/10.1101/060012" TargetMode="External" /><Relationship Type="http://schemas.openxmlformats.org/officeDocument/2006/relationships/hyperlink" Id="rId60" Target="https://www.ncbi.nlm.nih.gov/geo/" TargetMode="External" /><Relationship Type="http://schemas.openxmlformats.org/officeDocument/2006/relationships/hyperlink" Id="rId61" Target="https://www.synapse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2024-09-18T18:46:51Z</dcterms:created>
  <dcterms:modified xsi:type="dcterms:W3CDTF">2024-09-18T18:46:51Z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